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DEC2E2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8412A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4215D0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7FB48B1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6A7530">
        <w:rPr>
          <w:rFonts w:ascii="Arial" w:hAnsi="Arial" w:cs="Arial"/>
          <w:color w:val="000000"/>
          <w:sz w:val="16"/>
          <w:szCs w:val="16"/>
        </w:rPr>
        <w:t>Block</w:t>
      </w:r>
    </w:p>
    <w:p w14:paraId="5EADD881" w14:textId="2AFBF8D5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Materiaal: </w:t>
      </w:r>
      <w:r w:rsidR="00BF23C3">
        <w:rPr>
          <w:rFonts w:ascii="Arial" w:hAnsi="Arial" w:cs="Arial"/>
          <w:sz w:val="16"/>
          <w:szCs w:val="16"/>
        </w:rPr>
        <w:t>minerale 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4E3B1461" w14:textId="6B05B311" w:rsidR="007A6D27" w:rsidRPr="00573FC3" w:rsidRDefault="000D6144" w:rsidP="008E58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8E583B" w:rsidRPr="00573FC3">
        <w:rPr>
          <w:rFonts w:ascii="Arial" w:hAnsi="Arial" w:cs="Arial"/>
          <w:sz w:val="16"/>
          <w:szCs w:val="16"/>
        </w:rPr>
        <w:t>Paneel in minerale wol ingeseald met een inerte lucht- en waterdichte folie</w:t>
      </w:r>
    </w:p>
    <w:p w14:paraId="690E0A42" w14:textId="25D8105D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>tie: 74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63582F6E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>N 13501-1): klasse B-s1</w:t>
      </w:r>
      <w:r w:rsidR="008E583B" w:rsidRPr="00573FC3">
        <w:rPr>
          <w:rFonts w:ascii="Arial" w:hAnsi="Arial" w:cs="Arial"/>
          <w:sz w:val="16"/>
          <w:szCs w:val="16"/>
        </w:rPr>
        <w:t>,d0</w:t>
      </w:r>
    </w:p>
    <w:p w14:paraId="1EDA4BAF" w14:textId="7CC0F0D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395D80">
        <w:rPr>
          <w:rFonts w:ascii="Arial" w:hAnsi="Arial" w:cs="Arial"/>
          <w:sz w:val="16"/>
          <w:szCs w:val="16"/>
        </w:rPr>
        <w:t>90</w:t>
      </w:r>
    </w:p>
    <w:p w14:paraId="14AE5698" w14:textId="11170E5A" w:rsidR="000D6144" w:rsidRPr="00573FC3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117F3182" w:rsidR="00602BD3" w:rsidRDefault="00602BD3" w:rsidP="00602BD3">
      <w:pPr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>Duurzaamheid oppervlakte: De hoogwaardige inerte f</w:t>
      </w:r>
      <w:r w:rsidR="006C7C19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van </w:t>
      </w:r>
      <w:r w:rsidRPr="00573FC3">
        <w:rPr>
          <w:rFonts w:ascii="Arial" w:hAnsi="Arial" w:cs="Arial"/>
          <w:color w:val="000000"/>
          <w:sz w:val="16"/>
          <w:szCs w:val="16"/>
        </w:rPr>
        <w:t xml:space="preserve">Rockfon® </w:t>
      </w:r>
      <w:r>
        <w:rPr>
          <w:rFonts w:ascii="Arial" w:hAnsi="Arial" w:cs="Arial"/>
          <w:color w:val="000000"/>
          <w:sz w:val="16"/>
          <w:szCs w:val="16"/>
        </w:rPr>
        <w:t>CleanSpace™ Block</w:t>
      </w:r>
      <w:r w:rsidRPr="00E75047">
        <w:rPr>
          <w:rFonts w:ascii="Arial" w:hAnsi="Arial" w:cs="Arial"/>
          <w:sz w:val="16"/>
          <w:szCs w:val="16"/>
        </w:rPr>
        <w:t xml:space="preserve"> zorgt voor verbeterde duurzaamheid en </w:t>
      </w:r>
      <w:r w:rsidR="00121E22">
        <w:rPr>
          <w:rFonts w:ascii="Arial" w:hAnsi="Arial" w:cs="Arial"/>
          <w:sz w:val="16"/>
          <w:szCs w:val="16"/>
        </w:rPr>
        <w:t xml:space="preserve">is </w:t>
      </w:r>
      <w:r w:rsidRPr="00E75047">
        <w:rPr>
          <w:rFonts w:ascii="Arial" w:hAnsi="Arial" w:cs="Arial"/>
          <w:sz w:val="16"/>
          <w:szCs w:val="16"/>
        </w:rPr>
        <w:t>waterafstotend. De f</w:t>
      </w:r>
      <w:r w:rsidR="00121E22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bevat DMAc (CAS 127-19-5) in een concentratie </w:t>
      </w:r>
      <w:r w:rsidR="005A57F9">
        <w:rPr>
          <w:rFonts w:ascii="Arial" w:hAnsi="Arial" w:cs="Arial"/>
          <w:sz w:val="16"/>
          <w:szCs w:val="16"/>
        </w:rPr>
        <w:t>≥</w:t>
      </w:r>
      <w:r w:rsidRPr="00E75047">
        <w:rPr>
          <w:rFonts w:ascii="Arial" w:hAnsi="Arial" w:cs="Arial"/>
          <w:sz w:val="16"/>
          <w:szCs w:val="16"/>
        </w:rPr>
        <w:t xml:space="preserve"> 0,1% en &lt; 1 gewichtsprocent.</w:t>
      </w:r>
    </w:p>
    <w:p w14:paraId="28504C9C" w14:textId="7B6080E1" w:rsidR="007A6D27" w:rsidRPr="00602BD3" w:rsidRDefault="007A6D27" w:rsidP="00602BD3">
      <w:pPr>
        <w:contextualSpacing/>
        <w:rPr>
          <w:rFonts w:ascii="Arial" w:hAnsi="Arial" w:cs="Arial"/>
          <w:sz w:val="16"/>
          <w:szCs w:val="16"/>
          <w:lang w:val="en-GB"/>
        </w:rPr>
      </w:pPr>
      <w:r w:rsidRPr="00376FB6">
        <w:rPr>
          <w:rFonts w:ascii="Arial" w:hAnsi="Arial" w:cs="Arial"/>
          <w:sz w:val="16"/>
          <w:szCs w:val="16"/>
          <w:lang w:val="en-GB"/>
        </w:rPr>
        <w:t>Clean R</w:t>
      </w:r>
      <w:r w:rsidR="00020B90" w:rsidRPr="00376FB6">
        <w:rPr>
          <w:rFonts w:ascii="Arial" w:hAnsi="Arial" w:cs="Arial"/>
          <w:sz w:val="16"/>
          <w:szCs w:val="16"/>
          <w:lang w:val="en-GB"/>
        </w:rPr>
        <w:t>oom Classificatie: I</w:t>
      </w:r>
      <w:r w:rsidR="008E583B" w:rsidRPr="00376FB6">
        <w:rPr>
          <w:rFonts w:ascii="Arial" w:hAnsi="Arial" w:cs="Arial"/>
          <w:sz w:val="16"/>
          <w:szCs w:val="16"/>
          <w:lang w:val="en-GB"/>
        </w:rPr>
        <w:t>SO Klasse 2</w:t>
      </w:r>
    </w:p>
    <w:p w14:paraId="37BDB01D" w14:textId="77777777" w:rsidR="00020B90" w:rsidRPr="00573FC3" w:rsidRDefault="009C7B34" w:rsidP="271AA8C2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2F24C15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5A57F9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34EC42CF" w14:textId="41A3B2B8" w:rsidR="00E20E05" w:rsidRDefault="00E20E0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A57F9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chuimreiniging </w:t>
      </w:r>
      <w:r w:rsidR="005A57F9">
        <w:rPr>
          <w:rFonts w:ascii="Arial" w:hAnsi="Arial" w:cs="Arial"/>
          <w:sz w:val="16"/>
          <w:szCs w:val="16"/>
        </w:rPr>
        <w:t xml:space="preserve">onder lage druk </w:t>
      </w:r>
      <w:r>
        <w:rPr>
          <w:rFonts w:ascii="Arial" w:hAnsi="Arial" w:cs="Arial"/>
          <w:sz w:val="16"/>
          <w:szCs w:val="16"/>
        </w:rPr>
        <w:t>(twaalf keer per jaar)</w:t>
      </w:r>
    </w:p>
    <w:p w14:paraId="5B773754" w14:textId="47053247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5A57F9">
        <w:rPr>
          <w:rFonts w:ascii="Arial" w:hAnsi="Arial" w:cs="Arial"/>
          <w:sz w:val="16"/>
          <w:szCs w:val="16"/>
        </w:rPr>
        <w:t>Maandelijkse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2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66ED4CE2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573FC3">
        <w:rPr>
          <w:rFonts w:ascii="Arial" w:hAnsi="Arial" w:cs="Arial"/>
          <w:sz w:val="16"/>
          <w:szCs w:val="16"/>
        </w:rPr>
        <w:t xml:space="preserve">Getest in overeenstemming met ISO 2812-1 (“Bepaling van bestendigheid tegen vloeistoffen - </w:t>
      </w:r>
      <w:r w:rsidR="003C3E4F" w:rsidRPr="00573FC3">
        <w:rPr>
          <w:rFonts w:ascii="Arial" w:hAnsi="Arial" w:cs="Arial"/>
          <w:sz w:val="16"/>
          <w:szCs w:val="16"/>
        </w:rPr>
        <w:t xml:space="preserve">Deel 1: </w:t>
      </w:r>
      <w:r w:rsidR="003C3E4F">
        <w:rPr>
          <w:rFonts w:ascii="Arial" w:hAnsi="Arial" w:cs="Arial"/>
          <w:sz w:val="16"/>
          <w:szCs w:val="16"/>
        </w:rPr>
        <w:t xml:space="preserve">Dompelmethode met vloeistoffen anders dan water".) </w:t>
      </w:r>
      <w:r w:rsidR="00573FC3" w:rsidRPr="00573FC3">
        <w:rPr>
          <w:rFonts w:ascii="Arial" w:hAnsi="Arial" w:cs="Arial"/>
          <w:sz w:val="16"/>
          <w:szCs w:val="16"/>
        </w:rPr>
        <w:t>en geclassificeerd in overeenstemming met VDI 2083 Deel 17. Resultaten zijn geclassificeerd als ‘Uitstekend’ bij gebruik van hierna vermelde concentraties van detergenten en desinfectiemiddelen</w:t>
      </w:r>
      <w:r w:rsidR="00FB44EC">
        <w:rPr>
          <w:rFonts w:ascii="Arial" w:hAnsi="Arial" w:cs="Arial"/>
          <w:sz w:val="16"/>
          <w:szCs w:val="16"/>
        </w:rPr>
        <w:t xml:space="preserve"> </w:t>
      </w:r>
      <w:r w:rsidR="00FB44EC">
        <w:rPr>
          <w:rFonts w:ascii="Arial" w:hAnsi="Arial" w:cs="Arial"/>
          <w:sz w:val="16"/>
          <w:szCs w:val="16"/>
        </w:rPr>
        <w:t>(dagelijkse desinfectie</w:t>
      </w:r>
      <w:r w:rsidR="000C32C2">
        <w:rPr>
          <w:rFonts w:ascii="Arial" w:hAnsi="Arial" w:cs="Arial"/>
          <w:sz w:val="16"/>
          <w:szCs w:val="16"/>
        </w:rPr>
        <w:t>)</w:t>
      </w:r>
      <w:r w:rsidR="00573FC3" w:rsidRPr="00573FC3">
        <w:rPr>
          <w:rFonts w:ascii="Arial" w:hAnsi="Arial" w:cs="Arial"/>
          <w:sz w:val="16"/>
          <w:szCs w:val="16"/>
        </w:rPr>
        <w:t xml:space="preserve">: </w:t>
      </w:r>
    </w:p>
    <w:p w14:paraId="635BBD4E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Formaline (37%) </w:t>
      </w:r>
    </w:p>
    <w:p w14:paraId="6CD83C47" w14:textId="77777777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Ammoniak (25%)</w:t>
      </w:r>
    </w:p>
    <w:p w14:paraId="29AB551C" w14:textId="42BA5E6E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Waterstofperoxide (30%) </w:t>
      </w:r>
    </w:p>
    <w:p w14:paraId="5DA4FF17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Zwavelzuur (5%)</w:t>
      </w:r>
    </w:p>
    <w:p w14:paraId="672C7E2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Fosforzuur (30%) </w:t>
      </w:r>
    </w:p>
    <w:p w14:paraId="38DC3069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Perazijnzuur (15%) </w:t>
      </w:r>
    </w:p>
    <w:p w14:paraId="33F96944" w14:textId="64FA900F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r w:rsidR="002C7082">
        <w:rPr>
          <w:rFonts w:ascii="Arial" w:hAnsi="Arial" w:cs="Arial"/>
          <w:sz w:val="16"/>
          <w:szCs w:val="16"/>
        </w:rPr>
        <w:t>Zout</w:t>
      </w:r>
      <w:r w:rsidRPr="00573FC3">
        <w:rPr>
          <w:rFonts w:ascii="Arial" w:hAnsi="Arial" w:cs="Arial"/>
          <w:sz w:val="16"/>
          <w:szCs w:val="16"/>
        </w:rPr>
        <w:t xml:space="preserve">zuur (5%) </w:t>
      </w:r>
    </w:p>
    <w:p w14:paraId="26EA3272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Isopropanol (100%) </w:t>
      </w:r>
    </w:p>
    <w:p w14:paraId="25CC22D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Natriumhydroxide (5%) </w:t>
      </w:r>
    </w:p>
    <w:p w14:paraId="5C5CB904" w14:textId="48E9E5CD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Natriumhypochloriet (15%)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Desinfectie:</w:t>
      </w:r>
    </w:p>
    <w:p w14:paraId="687DE9A6" w14:textId="00AE1572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A14AF">
        <w:rPr>
          <w:rFonts w:ascii="Arial" w:hAnsi="Arial" w:cs="Arial"/>
          <w:sz w:val="16"/>
          <w:szCs w:val="16"/>
        </w:rPr>
        <w:t>Geschikt voor desinfectie met</w:t>
      </w:r>
      <w:r w:rsidR="00DA14AF" w:rsidRPr="005C181B">
        <w:rPr>
          <w:rFonts w:ascii="Arial" w:hAnsi="Arial" w:cs="Arial"/>
          <w:sz w:val="16"/>
          <w:szCs w:val="16"/>
        </w:rPr>
        <w:t xml:space="preserve"> waterstofperoxide</w:t>
      </w:r>
      <w:r w:rsidR="00DA14AF">
        <w:rPr>
          <w:rFonts w:ascii="Arial" w:hAnsi="Arial" w:cs="Arial"/>
          <w:sz w:val="16"/>
          <w:szCs w:val="16"/>
        </w:rPr>
        <w:t>-</w:t>
      </w:r>
      <w:r w:rsidR="00DA14AF" w:rsidRPr="005C181B">
        <w:rPr>
          <w:rFonts w:ascii="Arial" w:hAnsi="Arial" w:cs="Arial"/>
          <w:sz w:val="16"/>
          <w:szCs w:val="16"/>
        </w:rPr>
        <w:t>damp</w:t>
      </w:r>
      <w:r w:rsidR="00DA14AF">
        <w:rPr>
          <w:rFonts w:ascii="Arial" w:hAnsi="Arial" w:cs="Arial"/>
          <w:sz w:val="16"/>
          <w:szCs w:val="16"/>
        </w:rPr>
        <w:t xml:space="preserve"> </w:t>
      </w:r>
      <w:r w:rsidR="00DA14AF" w:rsidRPr="005C181B">
        <w:rPr>
          <w:rFonts w:ascii="Arial" w:hAnsi="Arial" w:cs="Arial"/>
          <w:sz w:val="16"/>
          <w:szCs w:val="16"/>
        </w:rPr>
        <w:t xml:space="preserve">desinfectie </w:t>
      </w:r>
      <w:r w:rsidR="00DA14AF">
        <w:rPr>
          <w:rFonts w:ascii="Arial" w:hAnsi="Arial" w:cs="Arial"/>
          <w:sz w:val="16"/>
          <w:szCs w:val="16"/>
        </w:rPr>
        <w:t>zonder impact op de beluchtingstijd</w:t>
      </w:r>
      <w:r w:rsidR="00DA14AF" w:rsidRPr="005C181B">
        <w:rPr>
          <w:rFonts w:ascii="Arial" w:hAnsi="Arial" w:cs="Arial"/>
          <w:sz w:val="16"/>
          <w:szCs w:val="16"/>
        </w:rPr>
        <w:t xml:space="preserve"> </w:t>
      </w:r>
    </w:p>
    <w:p w14:paraId="41798283" w14:textId="7B625AFC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DA14AF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DA14AF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77777777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47ED1544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6D55B881" w14:textId="0587BB9F" w:rsidR="000953E5" w:rsidRPr="00BE4B1A" w:rsidRDefault="00D66021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0953E5">
        <w:rPr>
          <w:rFonts w:ascii="Arial" w:hAnsi="Arial" w:cs="Arial"/>
          <w:sz w:val="16"/>
          <w:szCs w:val="16"/>
          <w:lang w:val="fr-FR"/>
        </w:rPr>
        <w:t>E</w:t>
      </w:r>
      <w:r>
        <w:rPr>
          <w:rFonts w:ascii="Arial" w:hAnsi="Arial" w:cs="Arial"/>
          <w:sz w:val="16"/>
          <w:szCs w:val="16"/>
          <w:lang w:val="fr-FR"/>
        </w:rPr>
        <w:t>. coli (Escherichia Coli)</w:t>
      </w:r>
    </w:p>
    <w:p w14:paraId="787899AB" w14:textId="77777777" w:rsidR="00544BC6" w:rsidRPr="00BE4B1A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Bacillus cereus </w:t>
      </w:r>
    </w:p>
    <w:p w14:paraId="45AC3DDD" w14:textId="77777777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075CBA9D" w14:textId="77777777" w:rsidR="0016769E" w:rsidRPr="00E8203B" w:rsidRDefault="0016769E" w:rsidP="00167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7D9A0C9B" w14:textId="48CC3010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3F8EC421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Pr="005163B5">
        <w:rPr>
          <w:rFonts w:ascii="Arial" w:eastAsia="Arial" w:hAnsi="Arial" w:cs="Arial"/>
          <w:sz w:val="16"/>
          <w:szCs w:val="16"/>
        </w:rPr>
        <w:t xml:space="preserve">Opwaaiveer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11D3BCCA" w14:textId="092CC7A0" w:rsidR="00E72AC8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>Afdichtingsband Alu 50 m, 75 mm bree</w:t>
      </w:r>
      <w:r w:rsidR="001101C8">
        <w:rPr>
          <w:rFonts w:ascii="Arial" w:eastAsia="Arial" w:hAnsi="Arial" w:cs="Arial"/>
          <w:sz w:val="16"/>
          <w:szCs w:val="16"/>
        </w:rPr>
        <w:t>d</w:t>
      </w:r>
    </w:p>
    <w:p w14:paraId="597210D1" w14:textId="2E954311" w:rsidR="00AC51F6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AF63F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Rockfon® </w:t>
      </w:r>
      <w:r w:rsidR="00223FB2">
        <w:rPr>
          <w:rFonts w:ascii="Arial" w:hAnsi="Arial" w:cs="Arial"/>
          <w:color w:val="000000"/>
          <w:sz w:val="16"/>
          <w:szCs w:val="16"/>
          <w:lang w:val="en-GB"/>
        </w:rPr>
        <w:t>CleanSpace™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Block</w:t>
      </w:r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inspectieluik 600x600 mm</w:t>
      </w:r>
    </w:p>
    <w:p w14:paraId="27964545" w14:textId="23771864" w:rsidR="00446F41" w:rsidRPr="006C7C19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6C7C19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6C7C19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6C7C19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6C7C19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940B3" w14:textId="77777777" w:rsidR="00E73E81" w:rsidRDefault="00E73E81">
      <w:pPr>
        <w:spacing w:after="0" w:line="240" w:lineRule="auto"/>
      </w:pPr>
      <w:r>
        <w:separator/>
      </w:r>
    </w:p>
  </w:endnote>
  <w:endnote w:type="continuationSeparator" w:id="0">
    <w:p w14:paraId="645AB0FC" w14:textId="77777777" w:rsidR="00E73E81" w:rsidRDefault="00E7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F46C3" w14:textId="77777777" w:rsidR="00E73E81" w:rsidRDefault="00E73E81">
      <w:pPr>
        <w:spacing w:after="0" w:line="240" w:lineRule="auto"/>
      </w:pPr>
      <w:r>
        <w:separator/>
      </w:r>
    </w:p>
  </w:footnote>
  <w:footnote w:type="continuationSeparator" w:id="0">
    <w:p w14:paraId="2AABAB3D" w14:textId="77777777" w:rsidR="00E73E81" w:rsidRDefault="00E7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953E5"/>
    <w:rsid w:val="000C32C2"/>
    <w:rsid w:val="000D6144"/>
    <w:rsid w:val="001101C8"/>
    <w:rsid w:val="00120C4C"/>
    <w:rsid w:val="00121E22"/>
    <w:rsid w:val="00133F9C"/>
    <w:rsid w:val="00144B42"/>
    <w:rsid w:val="00166D83"/>
    <w:rsid w:val="0016769E"/>
    <w:rsid w:val="00180E60"/>
    <w:rsid w:val="0018412A"/>
    <w:rsid w:val="00223FB2"/>
    <w:rsid w:val="00241334"/>
    <w:rsid w:val="00244122"/>
    <w:rsid w:val="002C7082"/>
    <w:rsid w:val="00300D6D"/>
    <w:rsid w:val="003146FD"/>
    <w:rsid w:val="00342E41"/>
    <w:rsid w:val="00357D3A"/>
    <w:rsid w:val="00376FB6"/>
    <w:rsid w:val="00392069"/>
    <w:rsid w:val="00392E2B"/>
    <w:rsid w:val="00395D80"/>
    <w:rsid w:val="003C3E4F"/>
    <w:rsid w:val="003D0BFE"/>
    <w:rsid w:val="003E7B18"/>
    <w:rsid w:val="0041736A"/>
    <w:rsid w:val="00446F41"/>
    <w:rsid w:val="004B2391"/>
    <w:rsid w:val="004F0A5F"/>
    <w:rsid w:val="00507DAB"/>
    <w:rsid w:val="005163B5"/>
    <w:rsid w:val="00522903"/>
    <w:rsid w:val="00544BC6"/>
    <w:rsid w:val="00573FC3"/>
    <w:rsid w:val="005A57F9"/>
    <w:rsid w:val="005A6380"/>
    <w:rsid w:val="005E6F16"/>
    <w:rsid w:val="005F407A"/>
    <w:rsid w:val="00602BD3"/>
    <w:rsid w:val="006239F2"/>
    <w:rsid w:val="0066285A"/>
    <w:rsid w:val="00677238"/>
    <w:rsid w:val="006A7530"/>
    <w:rsid w:val="006B66CD"/>
    <w:rsid w:val="006C2285"/>
    <w:rsid w:val="006C7C19"/>
    <w:rsid w:val="006D557D"/>
    <w:rsid w:val="00711FEB"/>
    <w:rsid w:val="007440AD"/>
    <w:rsid w:val="00764FEE"/>
    <w:rsid w:val="00794E78"/>
    <w:rsid w:val="007A6D27"/>
    <w:rsid w:val="007C78D7"/>
    <w:rsid w:val="007C7E67"/>
    <w:rsid w:val="007D66BB"/>
    <w:rsid w:val="008132AC"/>
    <w:rsid w:val="008328C7"/>
    <w:rsid w:val="00874EEC"/>
    <w:rsid w:val="00883EBD"/>
    <w:rsid w:val="008B5F24"/>
    <w:rsid w:val="008D196D"/>
    <w:rsid w:val="008E583B"/>
    <w:rsid w:val="008F0B0E"/>
    <w:rsid w:val="0091342B"/>
    <w:rsid w:val="009623B4"/>
    <w:rsid w:val="0098750D"/>
    <w:rsid w:val="009C7B34"/>
    <w:rsid w:val="00A80998"/>
    <w:rsid w:val="00AB7107"/>
    <w:rsid w:val="00AC51F6"/>
    <w:rsid w:val="00AD24E8"/>
    <w:rsid w:val="00AF63F1"/>
    <w:rsid w:val="00AF7D00"/>
    <w:rsid w:val="00B0230C"/>
    <w:rsid w:val="00B23AD3"/>
    <w:rsid w:val="00B611D3"/>
    <w:rsid w:val="00B943B1"/>
    <w:rsid w:val="00BB5AE4"/>
    <w:rsid w:val="00BC1F35"/>
    <w:rsid w:val="00BC69E5"/>
    <w:rsid w:val="00BD3D1A"/>
    <w:rsid w:val="00BF23C3"/>
    <w:rsid w:val="00BF6782"/>
    <w:rsid w:val="00C30254"/>
    <w:rsid w:val="00C37467"/>
    <w:rsid w:val="00C65DD5"/>
    <w:rsid w:val="00C8523C"/>
    <w:rsid w:val="00CB245F"/>
    <w:rsid w:val="00CD12C8"/>
    <w:rsid w:val="00CF7D71"/>
    <w:rsid w:val="00D2477B"/>
    <w:rsid w:val="00D351F6"/>
    <w:rsid w:val="00D44494"/>
    <w:rsid w:val="00D66021"/>
    <w:rsid w:val="00D90150"/>
    <w:rsid w:val="00DA14AF"/>
    <w:rsid w:val="00DA7BD6"/>
    <w:rsid w:val="00E20E05"/>
    <w:rsid w:val="00E25FCB"/>
    <w:rsid w:val="00E72AC8"/>
    <w:rsid w:val="00E73CF2"/>
    <w:rsid w:val="00E73E81"/>
    <w:rsid w:val="00E75047"/>
    <w:rsid w:val="00EA3A73"/>
    <w:rsid w:val="00F125FC"/>
    <w:rsid w:val="00F268D2"/>
    <w:rsid w:val="00F32881"/>
    <w:rsid w:val="00F64B36"/>
    <w:rsid w:val="00FB44EC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9A5A0-B8C9-40C8-AD14-E2AA4EA29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16</cp:revision>
  <dcterms:created xsi:type="dcterms:W3CDTF">2022-02-17T15:37:00Z</dcterms:created>
  <dcterms:modified xsi:type="dcterms:W3CDTF">2022-03-29T11:46:00Z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